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8C0F9">
      <w:pPr>
        <w:pStyle w:val="7"/>
        <w:rPr>
          <w:rFonts w:ascii="方正小标宋简体" w:hAnsi="方正小标宋简体" w:eastAsia="方正小标宋简体" w:cs="方正小标宋简体"/>
          <w:spacing w:val="0"/>
        </w:rPr>
      </w:pPr>
      <w:r>
        <w:rPr>
          <w:rFonts w:hint="eastAsia" w:ascii="方正小标宋简体" w:hAnsi="方正小标宋简体" w:eastAsia="方正小标宋简体" w:cs="方正小标宋简体"/>
          <w:spacing w:val="0"/>
        </w:rPr>
        <w:t>晋江市市场监督管理局</w:t>
      </w:r>
    </w:p>
    <w:p w14:paraId="615373B9">
      <w:pPr>
        <w:pStyle w:val="7"/>
        <w:rPr>
          <w:rFonts w:ascii="方正小标宋简体" w:hAnsi="方正小标宋简体" w:eastAsia="方正小标宋简体" w:cs="方正小标宋简体"/>
          <w:spacing w:val="0"/>
        </w:rPr>
      </w:pPr>
      <w:r>
        <w:rPr>
          <w:rFonts w:hint="eastAsia" w:ascii="方正小标宋简体" w:hAnsi="方正小标宋简体" w:eastAsia="方正小标宋简体" w:cs="方正小标宋简体"/>
          <w:spacing w:val="0"/>
        </w:rPr>
        <w:t>行政处罚决定书</w:t>
      </w:r>
    </w:p>
    <w:p w14:paraId="5CD81057">
      <w:pPr>
        <w:tabs>
          <w:tab w:val="left" w:pos="2725"/>
        </w:tabs>
        <w:spacing w:before="156" w:beforeLines="50" w:after="156" w:afterLines="50" w:line="560" w:lineRule="exact"/>
        <w:jc w:val="center"/>
        <w:rPr>
          <w:rFonts w:ascii="仿宋" w:hAnsi="仿宋" w:eastAsia="仿宋" w:cs="仿宋"/>
          <w:sz w:val="32"/>
          <w:szCs w:val="32"/>
        </w:rPr>
      </w:pPr>
      <w:r>
        <w:rPr>
          <w:rFonts w:hint="eastAsia" w:ascii="仿宋" w:hAnsi="仿宋" w:eastAsia="仿宋" w:cs="仿宋"/>
          <w:sz w:val="32"/>
          <w:szCs w:val="32"/>
        </w:rPr>
        <w:t>晋市监处罚〔202</w:t>
      </w:r>
      <w:r>
        <w:rPr>
          <w:rFonts w:ascii="仿宋" w:hAnsi="仿宋" w:eastAsia="仿宋" w:cs="仿宋"/>
          <w:sz w:val="32"/>
          <w:szCs w:val="32"/>
        </w:rPr>
        <w:t>5</w:t>
      </w:r>
      <w:r>
        <w:rPr>
          <w:rFonts w:hint="eastAsia" w:ascii="仿宋" w:hAnsi="仿宋" w:eastAsia="仿宋" w:cs="仿宋"/>
          <w:sz w:val="32"/>
          <w:szCs w:val="32"/>
        </w:rPr>
        <w:t>〕07-</w:t>
      </w:r>
      <w:r>
        <w:rPr>
          <w:rFonts w:ascii="仿宋" w:hAnsi="仿宋" w:eastAsia="仿宋" w:cs="仿宋"/>
          <w:sz w:val="32"/>
          <w:szCs w:val="32"/>
        </w:rPr>
        <w:t>0</w:t>
      </w:r>
      <w:r>
        <w:rPr>
          <w:rFonts w:hint="eastAsia" w:ascii="仿宋" w:hAnsi="仿宋" w:eastAsia="仿宋" w:cs="仿宋"/>
          <w:sz w:val="32"/>
          <w:szCs w:val="32"/>
          <w:lang w:val="en-US" w:eastAsia="zh-CN"/>
        </w:rPr>
        <w:t>73</w:t>
      </w:r>
      <w:r>
        <w:rPr>
          <w:rFonts w:hint="eastAsia" w:ascii="仿宋" w:hAnsi="仿宋" w:eastAsia="仿宋" w:cs="仿宋"/>
          <w:sz w:val="32"/>
          <w:szCs w:val="32"/>
        </w:rPr>
        <w:t>号</w:t>
      </w:r>
    </w:p>
    <w:p w14:paraId="01D12999">
      <w:pPr>
        <w:keepNext w:val="0"/>
        <w:keepLines w:val="0"/>
        <w:pageBreakBefore w:val="0"/>
        <w:widowControl w:val="0"/>
        <w:kinsoku/>
        <w:wordWrap/>
        <w:overflowPunct/>
        <w:topLinePunct w:val="0"/>
        <w:autoSpaceDE w:val="0"/>
        <w:autoSpaceDN w:val="0"/>
        <w:adjustRightInd w:val="0"/>
        <w:snapToGrid w:val="0"/>
        <w:spacing w:line="520" w:lineRule="exact"/>
        <w:textAlignment w:val="baseline"/>
        <w:rPr>
          <w:rFonts w:ascii="仿宋" w:hAnsi="仿宋" w:eastAsia="仿宋" w:cs="仿宋"/>
          <w:sz w:val="32"/>
          <w:szCs w:val="32"/>
        </w:rPr>
      </w:pPr>
      <w:r>
        <w:rPr>
          <w:rFonts w:hint="eastAsia" w:ascii="仿宋" w:hAnsi="仿宋" w:eastAsia="仿宋" w:cs="仿宋"/>
          <w:sz w:val="32"/>
          <w:szCs w:val="32"/>
        </w:rPr>
        <w:t>当事人：</w:t>
      </w:r>
      <w:r>
        <w:rPr>
          <w:rFonts w:hint="eastAsia" w:ascii="仿宋" w:hAnsi="仿宋" w:eastAsia="仿宋" w:cs="仿宋"/>
          <w:sz w:val="32"/>
          <w:szCs w:val="32"/>
          <w:u w:val="single"/>
        </w:rPr>
        <w:t xml:space="preserve"> 晋江爱所依食品有限责任公司                                         </w:t>
      </w:r>
      <w:r>
        <w:rPr>
          <w:rFonts w:hint="eastAsia" w:ascii="仿宋" w:hAnsi="仿宋" w:eastAsia="仿宋" w:cs="仿宋"/>
          <w:sz w:val="32"/>
          <w:szCs w:val="32"/>
        </w:rPr>
        <w:t xml:space="preserve"> 主体资格证照名称：</w:t>
      </w:r>
      <w:r>
        <w:rPr>
          <w:rFonts w:hint="eastAsia" w:ascii="仿宋" w:hAnsi="仿宋" w:eastAsia="仿宋" w:cs="仿宋"/>
          <w:sz w:val="32"/>
          <w:szCs w:val="32"/>
          <w:u w:val="single"/>
        </w:rPr>
        <w:t xml:space="preserve"> </w:t>
      </w:r>
      <w:r>
        <w:rPr>
          <w:rFonts w:ascii="仿宋" w:hAnsi="仿宋" w:eastAsia="仿宋" w:cs="仿宋"/>
          <w:sz w:val="32"/>
          <w:szCs w:val="32"/>
          <w:u w:val="single"/>
        </w:rPr>
        <w:t xml:space="preserve"> </w:t>
      </w:r>
      <w:r>
        <w:rPr>
          <w:rFonts w:hint="eastAsia" w:ascii="仿宋" w:hAnsi="仿宋" w:eastAsia="仿宋" w:cs="仿宋"/>
          <w:sz w:val="32"/>
          <w:szCs w:val="32"/>
          <w:u w:val="single"/>
        </w:rPr>
        <w:t xml:space="preserve">营业执照                  </w:t>
      </w:r>
      <w:r>
        <w:rPr>
          <w:rFonts w:ascii="仿宋" w:hAnsi="仿宋" w:eastAsia="仿宋" w:cs="仿宋"/>
          <w:sz w:val="32"/>
          <w:szCs w:val="32"/>
          <w:u w:val="single"/>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统一社会信用代码：</w:t>
      </w:r>
      <w:r>
        <w:rPr>
          <w:rFonts w:hint="eastAsia" w:ascii="仿宋" w:hAnsi="仿宋" w:eastAsia="仿宋" w:cs="仿宋"/>
          <w:sz w:val="32"/>
          <w:szCs w:val="32"/>
          <w:u w:val="single"/>
        </w:rPr>
        <w:t xml:space="preserve"> 91350582091385873F                        </w:t>
      </w:r>
      <w:r>
        <w:rPr>
          <w:rFonts w:hint="eastAsia" w:ascii="仿宋" w:hAnsi="仿宋" w:eastAsia="仿宋" w:cs="仿宋"/>
          <w:sz w:val="32"/>
          <w:szCs w:val="32"/>
        </w:rPr>
        <w:t xml:space="preserve"> 住所（住址）：</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福建省泉州市晋江市经济开发区（安东园）东盛路</w:t>
      </w:r>
      <w:r>
        <w:rPr>
          <w:rFonts w:hint="eastAsia" w:ascii="仿宋" w:hAnsi="仿宋" w:eastAsia="仿宋" w:cs="仿宋"/>
          <w:sz w:val="32"/>
          <w:szCs w:val="32"/>
          <w:u w:val="single"/>
          <w:lang w:val="en-US" w:eastAsia="zh-CN"/>
        </w:rPr>
        <w:t>*</w:t>
      </w:r>
      <w:r>
        <w:rPr>
          <w:rFonts w:hint="eastAsia" w:ascii="仿宋" w:hAnsi="仿宋" w:eastAsia="仿宋" w:cs="仿宋"/>
          <w:sz w:val="32"/>
          <w:szCs w:val="32"/>
          <w:u w:val="single"/>
        </w:rPr>
        <w:t>号</w:t>
      </w:r>
      <w:r>
        <w:rPr>
          <w:rFonts w:hint="eastAsia" w:ascii="仿宋" w:hAnsi="仿宋" w:eastAsia="仿宋" w:cs="仿宋"/>
          <w:sz w:val="32"/>
          <w:szCs w:val="32"/>
          <w:u w:val="single"/>
          <w:lang w:val="en-US" w:eastAsia="zh-CN"/>
        </w:rPr>
        <w:t xml:space="preserve">                     </w:t>
      </w:r>
      <w:r>
        <w:rPr>
          <w:rFonts w:ascii="仿宋" w:hAnsi="仿宋" w:eastAsia="仿宋" w:cs="仿宋"/>
          <w:sz w:val="32"/>
          <w:szCs w:val="32"/>
          <w:u w:val="single"/>
        </w:rPr>
        <w:t xml:space="preserve">       </w:t>
      </w:r>
      <w:r>
        <w:rPr>
          <w:rFonts w:hint="eastAsia" w:ascii="仿宋" w:hAnsi="仿宋" w:eastAsia="仿宋" w:cs="仿宋"/>
          <w:sz w:val="32"/>
          <w:szCs w:val="32"/>
          <w:u w:val="single"/>
        </w:rPr>
        <w:t xml:space="preserve">             </w:t>
      </w:r>
      <w:r>
        <w:rPr>
          <w:rFonts w:ascii="仿宋" w:hAnsi="仿宋" w:eastAsia="仿宋" w:cs="仿宋"/>
          <w:sz w:val="32"/>
          <w:szCs w:val="32"/>
          <w:u w:val="single"/>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p>
    <w:p w14:paraId="22B5A2D5">
      <w:pPr>
        <w:keepNext w:val="0"/>
        <w:keepLines w:val="0"/>
        <w:pageBreakBefore w:val="0"/>
        <w:widowControl w:val="0"/>
        <w:kinsoku/>
        <w:wordWrap/>
        <w:overflowPunct/>
        <w:topLinePunct w:val="0"/>
        <w:autoSpaceDE w:val="0"/>
        <w:autoSpaceDN w:val="0"/>
        <w:adjustRightInd w:val="0"/>
        <w:snapToGrid w:val="0"/>
        <w:spacing w:line="520" w:lineRule="exact"/>
        <w:textAlignment w:val="baseline"/>
        <w:rPr>
          <w:rFonts w:ascii="仿宋" w:hAnsi="仿宋" w:eastAsia="仿宋" w:cs="仿宋"/>
          <w:sz w:val="32"/>
          <w:szCs w:val="32"/>
        </w:rPr>
      </w:pPr>
      <w:r>
        <w:rPr>
          <w:rFonts w:hint="eastAsia" w:ascii="仿宋" w:hAnsi="仿宋" w:eastAsia="仿宋" w:cs="仿宋"/>
          <w:sz w:val="32"/>
          <w:szCs w:val="32"/>
        </w:rPr>
        <w:t>法定代表人（负责人、经营者）：</w:t>
      </w:r>
      <w:r>
        <w:rPr>
          <w:rFonts w:ascii="仿宋" w:hAnsi="仿宋" w:eastAsia="仿宋" w:cs="仿宋"/>
          <w:sz w:val="32"/>
          <w:szCs w:val="32"/>
          <w:u w:val="single"/>
        </w:rPr>
        <w:t xml:space="preserve"> </w:t>
      </w:r>
      <w:r>
        <w:rPr>
          <w:rFonts w:hint="eastAsia" w:ascii="仿宋" w:hAnsi="仿宋" w:eastAsia="仿宋" w:cs="仿宋"/>
          <w:sz w:val="32"/>
          <w:szCs w:val="32"/>
          <w:u w:val="single"/>
        </w:rPr>
        <w:t xml:space="preserve">许庆贤          </w:t>
      </w:r>
      <w:r>
        <w:rPr>
          <w:rFonts w:ascii="仿宋" w:hAnsi="仿宋" w:eastAsia="仿宋" w:cs="仿宋"/>
          <w:sz w:val="32"/>
          <w:szCs w:val="32"/>
          <w:u w:val="single"/>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p>
    <w:p w14:paraId="4CF223EC">
      <w:pPr>
        <w:keepNext w:val="0"/>
        <w:keepLines w:val="0"/>
        <w:pageBreakBefore w:val="0"/>
        <w:widowControl w:val="0"/>
        <w:kinsoku/>
        <w:wordWrap/>
        <w:overflowPunct/>
        <w:topLinePunct w:val="0"/>
        <w:autoSpaceDE w:val="0"/>
        <w:autoSpaceDN w:val="0"/>
        <w:adjustRightInd w:val="0"/>
        <w:snapToGrid w:val="0"/>
        <w:spacing w:line="520" w:lineRule="exact"/>
        <w:ind w:firstLine="640" w:firstLineChars="200"/>
        <w:textAlignment w:val="baseline"/>
        <w:rPr>
          <w:rFonts w:hint="eastAsia" w:ascii="仿宋" w:hAnsi="仿宋" w:eastAsia="仿宋" w:cs="仿宋_GB2312"/>
          <w:sz w:val="32"/>
          <w:szCs w:val="32"/>
        </w:rPr>
      </w:pPr>
      <w:r>
        <w:rPr>
          <w:rFonts w:hint="eastAsia" w:ascii="仿宋" w:hAnsi="仿宋" w:eastAsia="仿宋" w:cs="仿宋_GB2312"/>
          <w:sz w:val="32"/>
          <w:szCs w:val="32"/>
        </w:rPr>
        <w:t>2025年4月1日，本局执法人员根据举报线索依法对晋江爱所依食品有限责任公司进行检查，该公司证照齐全有效，执法人员对生产车间、成品库、包材库进行检查，未发现有“虫草花罐头”产品，当事人对举报材料所附产品图片进行辨认，确认为该公司生产，并提供该产品执行标准SB/T 10439《酱腌菜》。当事人生产的“虫草花罐头”为食用菌制品，不符合产品标签标示的推荐性标准，因当事人涉嫌生产标签不符合规定食品，经</w:t>
      </w:r>
      <w:r>
        <w:rPr>
          <w:rFonts w:hint="eastAsia" w:ascii="仿宋" w:hAnsi="仿宋" w:eastAsia="仿宋" w:cs="仿宋_GB2312"/>
          <w:sz w:val="32"/>
          <w:szCs w:val="32"/>
          <w:lang w:val="en-US" w:eastAsia="zh-CN"/>
        </w:rPr>
        <w:t>报</w:t>
      </w:r>
      <w:r>
        <w:rPr>
          <w:rFonts w:hint="eastAsia" w:ascii="仿宋" w:hAnsi="仿宋" w:eastAsia="仿宋" w:cs="仿宋_GB2312"/>
          <w:sz w:val="32"/>
          <w:szCs w:val="32"/>
        </w:rPr>
        <w:t>领导批准于2025年4月23日立案。</w:t>
      </w:r>
    </w:p>
    <w:p w14:paraId="1E83D183">
      <w:pPr>
        <w:keepNext w:val="0"/>
        <w:keepLines w:val="0"/>
        <w:pageBreakBefore w:val="0"/>
        <w:widowControl w:val="0"/>
        <w:kinsoku/>
        <w:wordWrap/>
        <w:overflowPunct/>
        <w:topLinePunct w:val="0"/>
        <w:autoSpaceDE w:val="0"/>
        <w:autoSpaceDN w:val="0"/>
        <w:adjustRightInd w:val="0"/>
        <w:snapToGrid w:val="0"/>
        <w:spacing w:line="520" w:lineRule="exact"/>
        <w:ind w:firstLine="640" w:firstLineChars="200"/>
        <w:textAlignment w:val="baseline"/>
        <w:rPr>
          <w:rFonts w:ascii="仿宋" w:hAnsi="仿宋" w:eastAsia="仿宋" w:cs="仿宋_GB2312"/>
          <w:sz w:val="32"/>
          <w:szCs w:val="32"/>
        </w:rPr>
      </w:pPr>
      <w:r>
        <w:rPr>
          <w:rFonts w:hint="eastAsia" w:ascii="仿宋" w:hAnsi="仿宋" w:eastAsia="仿宋" w:cs="仿宋_GB2312"/>
          <w:sz w:val="32"/>
          <w:szCs w:val="32"/>
        </w:rPr>
        <w:t>经查实，该公司依法持有有效的《营业执照》及《食品生产许可证》。当事人使用执行标准为SB/T 10439的包材共生产了10批次，其中20240510批次5件、20240512批次5件、20240513批次5件、20241019批次5件、20241020批次5件、20241022批次5件、20241129批次5件、20241130批次5件、20250311批次5件、20250313批次5件，共计50件，已全部销售出去。根据SB/T 10439《酱腌菜》只适用于以蔬菜、蔬菜咸坯经过加工而成的蔬菜制品，而涉案产品所使用原料“虫草花”为食用菌，由此认定当事人产品不符合《中华人民共和国食品安全法》第七十一条第三款的规定，当事人的行为构成生产标签不符合规定的违法行为。当事人上述产品成本为25.82元/件，售价30元/件，当事人共生产销售50件，货值金额为1500元。案发后，当事人及时对违法行为进行分析整改，并立即开展问题产品召回，因产品已销售到消费终端，截至2025年4月23日，召回数量为0。</w:t>
      </w:r>
    </w:p>
    <w:p w14:paraId="1CD65D29">
      <w:pPr>
        <w:keepNext w:val="0"/>
        <w:keepLines w:val="0"/>
        <w:pageBreakBefore w:val="0"/>
        <w:widowControl w:val="0"/>
        <w:kinsoku/>
        <w:wordWrap/>
        <w:overflowPunct/>
        <w:topLinePunct w:val="0"/>
        <w:autoSpaceDE w:val="0"/>
        <w:autoSpaceDN w:val="0"/>
        <w:adjustRightInd w:val="0"/>
        <w:snapToGrid w:val="0"/>
        <w:spacing w:line="520" w:lineRule="exact"/>
        <w:ind w:firstLine="640" w:firstLineChars="200"/>
        <w:textAlignment w:val="baseline"/>
        <w:rPr>
          <w:rFonts w:hint="eastAsia" w:ascii="仿宋" w:hAnsi="仿宋" w:eastAsia="仿宋" w:cs="仿宋_GB2312"/>
          <w:sz w:val="32"/>
          <w:szCs w:val="32"/>
        </w:rPr>
      </w:pPr>
      <w:r>
        <w:rPr>
          <w:rFonts w:hint="eastAsia" w:ascii="仿宋" w:hAnsi="仿宋" w:eastAsia="仿宋" w:cs="仿宋_GB2312"/>
          <w:sz w:val="32"/>
          <w:szCs w:val="32"/>
        </w:rPr>
        <w:t>上述事实，主要有以下证据证明：举报单、现场笔录、现场照片、成品出入库台账、销售台账、投配料记录表、成本核算表、营业执照复印件、食品生产许可证复印件、身份证复印件</w:t>
      </w:r>
      <w:r>
        <w:rPr>
          <w:rFonts w:hint="eastAsia" w:ascii="仿宋" w:hAnsi="仿宋" w:eastAsia="仿宋" w:cs="仿宋_GB2312"/>
          <w:sz w:val="32"/>
          <w:szCs w:val="32"/>
          <w:lang w:eastAsia="zh-CN"/>
        </w:rPr>
        <w:t>、召回公告等材料</w:t>
      </w:r>
      <w:r>
        <w:rPr>
          <w:rFonts w:hint="eastAsia" w:ascii="仿宋" w:hAnsi="仿宋" w:eastAsia="仿宋" w:cs="仿宋_GB2312"/>
          <w:sz w:val="32"/>
          <w:szCs w:val="32"/>
        </w:rPr>
        <w:t>。</w:t>
      </w:r>
    </w:p>
    <w:p w14:paraId="7CEC46D2">
      <w:pPr>
        <w:keepNext w:val="0"/>
        <w:keepLines w:val="0"/>
        <w:pageBreakBefore w:val="0"/>
        <w:widowControl w:val="0"/>
        <w:kinsoku/>
        <w:wordWrap/>
        <w:overflowPunct/>
        <w:topLinePunct w:val="0"/>
        <w:autoSpaceDE w:val="0"/>
        <w:autoSpaceDN w:val="0"/>
        <w:adjustRightInd w:val="0"/>
        <w:snapToGrid w:val="0"/>
        <w:spacing w:line="520" w:lineRule="exact"/>
        <w:ind w:firstLine="640" w:firstLineChars="200"/>
        <w:textAlignment w:val="baseline"/>
        <w:rPr>
          <w:rFonts w:ascii="仿宋" w:hAnsi="仿宋" w:eastAsia="仿宋" w:cs="仿宋"/>
          <w:sz w:val="32"/>
          <w:szCs w:val="32"/>
          <w:u w:val="single"/>
        </w:rPr>
      </w:pPr>
      <w:r>
        <w:rPr>
          <w:rFonts w:hint="eastAsia" w:ascii="仿宋" w:hAnsi="仿宋" w:eastAsia="仿宋" w:cs="仿宋"/>
          <w:sz w:val="32"/>
          <w:szCs w:val="32"/>
        </w:rPr>
        <w:t>202</w:t>
      </w:r>
      <w:r>
        <w:rPr>
          <w:rFonts w:ascii="仿宋" w:hAnsi="仿宋" w:eastAsia="仿宋" w:cs="仿宋"/>
          <w:sz w:val="32"/>
          <w:szCs w:val="32"/>
        </w:rPr>
        <w:t>5</w:t>
      </w:r>
      <w:r>
        <w:rPr>
          <w:rFonts w:hint="eastAsia" w:ascii="仿宋" w:hAnsi="仿宋" w:eastAsia="仿宋" w:cs="仿宋"/>
          <w:sz w:val="32"/>
          <w:szCs w:val="32"/>
        </w:rPr>
        <w:t>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19</w:t>
      </w:r>
      <w:r>
        <w:rPr>
          <w:rFonts w:hint="eastAsia" w:ascii="仿宋" w:hAnsi="仿宋" w:eastAsia="仿宋" w:cs="仿宋"/>
          <w:sz w:val="32"/>
          <w:szCs w:val="32"/>
        </w:rPr>
        <w:t>日，本局向当事人送达了《行政处罚告知书》(晋市监罚告〔202</w:t>
      </w:r>
      <w:r>
        <w:rPr>
          <w:rFonts w:ascii="仿宋" w:hAnsi="仿宋" w:eastAsia="仿宋" w:cs="仿宋"/>
          <w:sz w:val="32"/>
          <w:szCs w:val="32"/>
        </w:rPr>
        <w:t>5</w:t>
      </w:r>
      <w:r>
        <w:rPr>
          <w:rFonts w:hint="eastAsia" w:ascii="仿宋" w:hAnsi="仿宋" w:eastAsia="仿宋" w:cs="仿宋"/>
          <w:sz w:val="32"/>
          <w:szCs w:val="32"/>
        </w:rPr>
        <w:t>〕07-</w:t>
      </w:r>
      <w:r>
        <w:rPr>
          <w:rFonts w:ascii="仿宋" w:hAnsi="仿宋" w:eastAsia="仿宋" w:cs="仿宋"/>
          <w:sz w:val="32"/>
          <w:szCs w:val="32"/>
        </w:rPr>
        <w:t>0</w:t>
      </w:r>
      <w:r>
        <w:rPr>
          <w:rFonts w:hint="eastAsia" w:ascii="仿宋" w:hAnsi="仿宋" w:eastAsia="仿宋" w:cs="仿宋"/>
          <w:sz w:val="32"/>
          <w:szCs w:val="32"/>
          <w:lang w:val="en-US" w:eastAsia="zh-CN"/>
        </w:rPr>
        <w:t>73</w:t>
      </w:r>
      <w:r>
        <w:rPr>
          <w:rFonts w:hint="eastAsia" w:ascii="仿宋" w:hAnsi="仿宋" w:eastAsia="仿宋" w:cs="仿宋"/>
          <w:sz w:val="32"/>
          <w:szCs w:val="32"/>
        </w:rPr>
        <w:t>号)，当事人在法定期限内未提出陈述和申辩意见。</w:t>
      </w:r>
    </w:p>
    <w:p w14:paraId="79DC9CF4">
      <w:pPr>
        <w:keepNext w:val="0"/>
        <w:keepLines w:val="0"/>
        <w:pageBreakBefore w:val="0"/>
        <w:wordWrap/>
        <w:overflowPunct/>
        <w:topLinePunct w:val="0"/>
        <w:autoSpaceDE w:val="0"/>
        <w:autoSpaceDN w:val="0"/>
        <w:adjustRightInd w:val="0"/>
        <w:snapToGrid w:val="0"/>
        <w:spacing w:line="520" w:lineRule="exact"/>
        <w:ind w:firstLine="640" w:firstLineChars="200"/>
        <w:textAlignment w:val="baseline"/>
        <w:rPr>
          <w:rFonts w:hint="eastAsia" w:ascii="仿宋" w:hAnsi="仿宋" w:eastAsia="仿宋" w:cs="仿宋_GB2312"/>
          <w:sz w:val="32"/>
          <w:szCs w:val="32"/>
        </w:rPr>
      </w:pPr>
      <w:r>
        <w:rPr>
          <w:rFonts w:hint="eastAsia" w:ascii="仿宋" w:hAnsi="仿宋" w:eastAsia="仿宋" w:cs="仿宋"/>
          <w:sz w:val="32"/>
          <w:szCs w:val="32"/>
        </w:rPr>
        <w:t>综上所述，本局认为：当事人生产销售的“虫草花罐头”标签不符合规定的行为，违反了《中华人民共和国食品安全法》第七十一条第三款的规定</w:t>
      </w:r>
      <w:r>
        <w:rPr>
          <w:rFonts w:hint="eastAsia" w:ascii="仿宋" w:hAnsi="仿宋" w:eastAsia="仿宋" w:cs="仿宋_GB2312"/>
          <w:sz w:val="32"/>
          <w:szCs w:val="32"/>
        </w:rPr>
        <w:t>。鉴于当事人积极配合市场监督管理部门调查，如实陈述违法事实并主动提供证据材料的，依据《福建省市场监督管理行政处罚裁量权适用规则》第十一条第二项规定可以从轻或者减轻处罚情节。适用《福建省市场监督管理系统适用</w:t>
      </w:r>
      <w:r>
        <w:rPr>
          <w:rFonts w:hint="eastAsia" w:ascii="仿宋" w:hAnsi="仿宋" w:eastAsia="仿宋" w:cs="仿宋_GB2312"/>
          <w:sz w:val="32"/>
          <w:szCs w:val="32"/>
          <w:lang w:eastAsia="zh-CN"/>
        </w:rPr>
        <w:t>〈</w:t>
      </w:r>
      <w:r>
        <w:rPr>
          <w:rFonts w:hint="eastAsia" w:ascii="仿宋" w:hAnsi="仿宋" w:eastAsia="仿宋" w:cs="仿宋_GB2312"/>
          <w:sz w:val="32"/>
          <w:szCs w:val="32"/>
        </w:rPr>
        <w:t>食品安全法</w:t>
      </w:r>
      <w:r>
        <w:rPr>
          <w:rFonts w:hint="eastAsia" w:ascii="仿宋" w:hAnsi="仿宋" w:eastAsia="仿宋" w:cs="仿宋_GB2312"/>
          <w:sz w:val="32"/>
          <w:szCs w:val="32"/>
          <w:lang w:eastAsia="zh-CN"/>
        </w:rPr>
        <w:t>〉</w:t>
      </w:r>
      <w:r>
        <w:rPr>
          <w:rFonts w:hint="eastAsia" w:ascii="仿宋" w:hAnsi="仿宋" w:eastAsia="仿宋" w:cs="仿宋_GB2312"/>
          <w:sz w:val="32"/>
          <w:szCs w:val="32"/>
        </w:rPr>
        <w:t>行政处罚裁量基准》SP-4从轻情节规定，对当事人违法行为予以从轻行政处罚。依据《中华人民共和国食品安全法》第一百二十五条第一</w:t>
      </w:r>
      <w:r>
        <w:rPr>
          <w:rFonts w:hint="eastAsia" w:ascii="仿宋" w:hAnsi="仿宋" w:eastAsia="仿宋" w:cs="仿宋_GB2312"/>
          <w:sz w:val="32"/>
          <w:szCs w:val="32"/>
          <w:lang w:eastAsia="zh-CN"/>
        </w:rPr>
        <w:t>款第</w:t>
      </w:r>
      <w:r>
        <w:rPr>
          <w:rFonts w:hint="eastAsia" w:ascii="仿宋" w:hAnsi="仿宋" w:eastAsia="仿宋" w:cs="仿宋_GB2312"/>
          <w:sz w:val="32"/>
          <w:szCs w:val="32"/>
        </w:rPr>
        <w:t>二项及《中华人民共和国行政处罚法》第二十八条第一款的规定，</w:t>
      </w:r>
      <w:r>
        <w:rPr>
          <w:rFonts w:hint="eastAsia" w:ascii="仿宋" w:hAnsi="仿宋" w:eastAsia="仿宋" w:cs="仿宋_GB2312"/>
          <w:sz w:val="32"/>
          <w:szCs w:val="32"/>
          <w:lang w:val="en-US" w:eastAsia="zh-CN"/>
        </w:rPr>
        <w:t>本局</w:t>
      </w:r>
      <w:r>
        <w:rPr>
          <w:rFonts w:hint="eastAsia" w:ascii="仿宋" w:hAnsi="仿宋" w:eastAsia="仿宋" w:cs="仿宋_GB2312"/>
          <w:sz w:val="32"/>
          <w:szCs w:val="32"/>
        </w:rPr>
        <w:t>责令当事人改正生产标签不符合规定食品的违法行为，并作出处罚如下：</w:t>
      </w:r>
    </w:p>
    <w:p w14:paraId="55DB7554">
      <w:pPr>
        <w:keepNext w:val="0"/>
        <w:keepLines w:val="0"/>
        <w:pageBreakBefore w:val="0"/>
        <w:wordWrap/>
        <w:overflowPunct/>
        <w:topLinePunct w:val="0"/>
        <w:autoSpaceDE w:val="0"/>
        <w:autoSpaceDN w:val="0"/>
        <w:adjustRightInd w:val="0"/>
        <w:snapToGrid w:val="0"/>
        <w:spacing w:line="520" w:lineRule="exact"/>
        <w:ind w:firstLine="640" w:firstLineChars="200"/>
        <w:textAlignment w:val="baseline"/>
        <w:rPr>
          <w:rFonts w:hint="eastAsia" w:ascii="仿宋" w:hAnsi="仿宋" w:eastAsia="仿宋" w:cs="仿宋_GB2312"/>
          <w:sz w:val="32"/>
          <w:szCs w:val="32"/>
        </w:rPr>
      </w:pPr>
      <w:bookmarkStart w:id="0" w:name="_GoBack"/>
      <w:r>
        <w:rPr>
          <w:rFonts w:hint="eastAsia" w:ascii="仿宋" w:hAnsi="仿宋" w:eastAsia="仿宋" w:cs="仿宋_GB2312"/>
          <w:sz w:val="32"/>
          <w:szCs w:val="32"/>
        </w:rPr>
        <w:t>1、</w:t>
      </w:r>
      <w:bookmarkEnd w:id="0"/>
      <w:r>
        <w:rPr>
          <w:rFonts w:hint="eastAsia" w:ascii="仿宋" w:hAnsi="仿宋" w:eastAsia="仿宋" w:cs="仿宋_GB2312"/>
          <w:sz w:val="32"/>
          <w:szCs w:val="32"/>
        </w:rPr>
        <w:t>没收违法所得1500元；</w:t>
      </w:r>
    </w:p>
    <w:p w14:paraId="3C119446">
      <w:pPr>
        <w:keepNext w:val="0"/>
        <w:keepLines w:val="0"/>
        <w:pageBreakBefore w:val="0"/>
        <w:wordWrap/>
        <w:overflowPunct/>
        <w:topLinePunct w:val="0"/>
        <w:autoSpaceDE w:val="0"/>
        <w:autoSpaceDN w:val="0"/>
        <w:adjustRightInd w:val="0"/>
        <w:snapToGrid w:val="0"/>
        <w:spacing w:line="520" w:lineRule="exact"/>
        <w:ind w:firstLine="640" w:firstLineChars="200"/>
        <w:textAlignment w:val="baseline"/>
        <w:rPr>
          <w:rFonts w:hint="eastAsia" w:ascii="仿宋" w:hAnsi="仿宋" w:eastAsia="仿宋" w:cs="仿宋_GB2312"/>
          <w:sz w:val="32"/>
          <w:szCs w:val="32"/>
        </w:rPr>
      </w:pPr>
      <w:r>
        <w:rPr>
          <w:rFonts w:hint="eastAsia" w:ascii="仿宋" w:hAnsi="仿宋" w:eastAsia="仿宋" w:cs="仿宋_GB2312"/>
          <w:sz w:val="32"/>
          <w:szCs w:val="32"/>
        </w:rPr>
        <w:t xml:space="preserve">2、处以罚款5100元。   </w:t>
      </w:r>
    </w:p>
    <w:p w14:paraId="71FF03C3">
      <w:pPr>
        <w:keepNext w:val="0"/>
        <w:keepLines w:val="0"/>
        <w:pageBreakBefore w:val="0"/>
        <w:wordWrap/>
        <w:overflowPunct/>
        <w:topLinePunct w:val="0"/>
        <w:autoSpaceDE w:val="0"/>
        <w:autoSpaceDN w:val="0"/>
        <w:adjustRightInd w:val="0"/>
        <w:snapToGrid w:val="0"/>
        <w:spacing w:line="520" w:lineRule="exact"/>
        <w:ind w:firstLine="640" w:firstLineChars="200"/>
        <w:textAlignment w:val="baseline"/>
        <w:rPr>
          <w:rFonts w:ascii="仿宋" w:hAnsi="仿宋" w:eastAsia="仿宋" w:cs="仿宋_GB2312"/>
          <w:sz w:val="32"/>
          <w:szCs w:val="32"/>
        </w:rPr>
      </w:pPr>
      <w:r>
        <w:rPr>
          <w:rFonts w:hint="eastAsia" w:ascii="仿宋" w:hAnsi="仿宋" w:eastAsia="仿宋" w:cs="仿宋_GB2312"/>
          <w:sz w:val="32"/>
          <w:szCs w:val="32"/>
        </w:rPr>
        <w:t>当事人应当自收到本决定书之日起十五日内，持福建省政府非税收入缴款通知书（缴款码）到银行网点或者通过电子支付系统缴款，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14:paraId="6F989D62">
      <w:pPr>
        <w:keepNext w:val="0"/>
        <w:keepLines w:val="0"/>
        <w:pageBreakBefore w:val="0"/>
        <w:widowControl w:val="0"/>
        <w:kinsoku/>
        <w:wordWrap/>
        <w:overflowPunct/>
        <w:topLinePunct w:val="0"/>
        <w:autoSpaceDE w:val="0"/>
        <w:autoSpaceDN w:val="0"/>
        <w:adjustRightInd w:val="0"/>
        <w:snapToGrid w:val="0"/>
        <w:spacing w:line="520" w:lineRule="exact"/>
        <w:ind w:firstLine="640" w:firstLineChars="200"/>
        <w:textAlignment w:val="baseline"/>
        <w:rPr>
          <w:rFonts w:ascii="仿宋" w:hAnsi="仿宋" w:eastAsia="仿宋" w:cs="仿宋_GB2312"/>
          <w:sz w:val="32"/>
          <w:szCs w:val="32"/>
        </w:rPr>
      </w:pPr>
      <w:r>
        <w:rPr>
          <w:rFonts w:hint="eastAsia" w:ascii="仿宋" w:hAnsi="仿宋" w:eastAsia="仿宋" w:cs="仿宋_GB2312"/>
          <w:sz w:val="32"/>
          <w:szCs w:val="32"/>
        </w:rPr>
        <w:t>当事人如对本行政处罚决定不服，可在接到本行政处罚决定书之日起六十日内向晋江市人民政府申请复议，也可</w:t>
      </w:r>
      <w:r>
        <w:rPr>
          <w:rFonts w:hint="eastAsia" w:ascii="仿宋" w:hAnsi="仿宋" w:eastAsia="仿宋" w:cs="仿宋_GB2312"/>
          <w:sz w:val="32"/>
          <w:szCs w:val="32"/>
          <w:lang w:eastAsia="zh-CN"/>
        </w:rPr>
        <w:t>以在</w:t>
      </w:r>
      <w:r>
        <w:rPr>
          <w:rFonts w:hint="eastAsia" w:ascii="仿宋" w:hAnsi="仿宋" w:eastAsia="仿宋" w:cs="仿宋_GB2312"/>
          <w:sz w:val="32"/>
          <w:szCs w:val="32"/>
        </w:rPr>
        <w:t>六个月内依法向泉州市洛江区人民法院提起行政诉讼。当事人对行政处罚决定不服而申请行政复议或者提起行政诉讼期间，行政处罚不停止执行，法律、法规、规章另有规定的，从其规定。</w:t>
      </w:r>
    </w:p>
    <w:p w14:paraId="77F94B28">
      <w:pPr>
        <w:keepNext w:val="0"/>
        <w:keepLines w:val="0"/>
        <w:pageBreakBefore w:val="0"/>
        <w:widowControl w:val="0"/>
        <w:kinsoku/>
        <w:wordWrap/>
        <w:overflowPunct/>
        <w:topLinePunct w:val="0"/>
        <w:autoSpaceDE w:val="0"/>
        <w:autoSpaceDN w:val="0"/>
        <w:adjustRightInd w:val="0"/>
        <w:snapToGrid w:val="0"/>
        <w:spacing w:line="520" w:lineRule="exact"/>
        <w:textAlignment w:val="baseline"/>
        <w:rPr>
          <w:rFonts w:ascii="仿宋" w:hAnsi="仿宋" w:eastAsia="仿宋" w:cs="仿宋_GB2312"/>
          <w:sz w:val="32"/>
          <w:szCs w:val="32"/>
        </w:rPr>
      </w:pPr>
    </w:p>
    <w:p w14:paraId="0BF45AB8">
      <w:pPr>
        <w:keepNext w:val="0"/>
        <w:keepLines w:val="0"/>
        <w:pageBreakBefore w:val="0"/>
        <w:widowControl w:val="0"/>
        <w:tabs>
          <w:tab w:val="left" w:pos="5667"/>
        </w:tabs>
        <w:wordWrap/>
        <w:overflowPunct/>
        <w:topLinePunct w:val="0"/>
        <w:autoSpaceDE w:val="0"/>
        <w:autoSpaceDN w:val="0"/>
        <w:bidi/>
        <w:adjustRightInd w:val="0"/>
        <w:snapToGrid w:val="0"/>
        <w:spacing w:line="520" w:lineRule="exact"/>
        <w:ind w:right="840" w:rightChars="400"/>
        <w:textAlignment w:val="baseline"/>
        <w:rPr>
          <w:rFonts w:ascii="仿宋" w:hAnsi="仿宋" w:eastAsia="仿宋" w:cs="仿宋"/>
          <w:sz w:val="32"/>
          <w:szCs w:val="32"/>
        </w:rPr>
      </w:pPr>
      <w:r>
        <w:rPr>
          <w:rFonts w:hint="eastAsia" w:ascii="仿宋" w:hAnsi="仿宋" w:eastAsia="仿宋" w:cs="仿宋"/>
          <w:sz w:val="32"/>
          <w:szCs w:val="32"/>
        </w:rPr>
        <w:t>晋江市市场监督管理局</w:t>
      </w:r>
      <w:r>
        <w:rPr>
          <w:rFonts w:ascii="仿宋" w:hAnsi="仿宋" w:eastAsia="仿宋" w:cs="仿宋"/>
          <w:sz w:val="32"/>
          <w:szCs w:val="32"/>
        </w:rPr>
        <w:t xml:space="preserve">   </w:t>
      </w:r>
    </w:p>
    <w:p w14:paraId="18FA15EE">
      <w:pPr>
        <w:keepNext w:val="0"/>
        <w:keepLines w:val="0"/>
        <w:pageBreakBefore w:val="0"/>
        <w:widowControl w:val="0"/>
        <w:wordWrap/>
        <w:overflowPunct/>
        <w:topLinePunct w:val="0"/>
        <w:autoSpaceDE w:val="0"/>
        <w:autoSpaceDN w:val="0"/>
        <w:bidi/>
        <w:adjustRightInd w:val="0"/>
        <w:snapToGrid w:val="0"/>
        <w:spacing w:line="520" w:lineRule="exact"/>
        <w:ind w:right="840" w:rightChars="400"/>
        <w:textAlignment w:val="baseline"/>
        <w:rPr>
          <w:rFonts w:ascii="仿宋" w:hAnsi="仿宋" w:eastAsia="仿宋" w:cs="仿宋"/>
          <w:sz w:val="32"/>
          <w:szCs w:val="32"/>
        </w:rPr>
      </w:pPr>
      <w:r>
        <w:rPr>
          <w:rFonts w:hint="eastAsia" w:ascii="仿宋" w:hAnsi="仿宋" w:eastAsia="仿宋" w:cs="仿宋"/>
          <w:sz w:val="32"/>
          <w:szCs w:val="32"/>
        </w:rPr>
        <w:t>202</w:t>
      </w:r>
      <w:r>
        <w:rPr>
          <w:rFonts w:ascii="仿宋" w:hAnsi="仿宋" w:eastAsia="仿宋" w:cs="仿宋"/>
          <w:sz w:val="32"/>
          <w:szCs w:val="32"/>
        </w:rPr>
        <w:t>5</w:t>
      </w:r>
      <w:r>
        <w:rPr>
          <w:rFonts w:hint="eastAsia" w:ascii="仿宋" w:hAnsi="仿宋" w:eastAsia="仿宋" w:cs="仿宋"/>
          <w:sz w:val="32"/>
          <w:szCs w:val="32"/>
        </w:rPr>
        <w:t>年</w:t>
      </w:r>
      <w:r>
        <w:rPr>
          <w:rFonts w:hint="eastAsia" w:ascii="仿宋" w:hAnsi="仿宋" w:eastAsia="仿宋" w:cs="仿宋"/>
          <w:sz w:val="32"/>
          <w:szCs w:val="32"/>
          <w:lang w:val="en-US" w:eastAsia="zh-CN"/>
        </w:rPr>
        <w:t>5</w:t>
      </w:r>
      <w:r>
        <w:rPr>
          <w:rFonts w:hint="eastAsia" w:ascii="仿宋" w:hAnsi="仿宋" w:eastAsia="仿宋" w:cs="仿宋"/>
          <w:sz w:val="32"/>
          <w:szCs w:val="32"/>
        </w:rPr>
        <w:t>月</w:t>
      </w:r>
      <w:r>
        <w:rPr>
          <w:rFonts w:hint="eastAsia" w:ascii="仿宋" w:hAnsi="仿宋" w:eastAsia="仿宋" w:cs="仿宋"/>
          <w:sz w:val="32"/>
          <w:szCs w:val="32"/>
          <w:lang w:val="en-US" w:eastAsia="zh-CN"/>
        </w:rPr>
        <w:t>27</w:t>
      </w:r>
      <w:r>
        <w:rPr>
          <w:rFonts w:hint="eastAsia" w:ascii="仿宋" w:hAnsi="仿宋" w:eastAsia="仿宋" w:cs="仿宋"/>
          <w:sz w:val="32"/>
          <w:szCs w:val="32"/>
        </w:rPr>
        <w:t>日</w:t>
      </w:r>
      <w:r>
        <w:rPr>
          <w:rFonts w:ascii="仿宋" w:hAnsi="仿宋" w:eastAsia="仿宋" w:cs="仿宋"/>
          <w:sz w:val="32"/>
          <w:szCs w:val="32"/>
        </w:rPr>
        <w:t xml:space="preserve"> </w:t>
      </w:r>
      <w:r>
        <w:rPr>
          <w:rFonts w:ascii="仿宋" w:hAnsi="仿宋" w:eastAsia="仿宋" w:cs="仿宋"/>
          <w:sz w:val="32"/>
        </w:rPr>
        <w:t xml:space="preserve">     </w:t>
      </w:r>
    </w:p>
    <w:p w14:paraId="5B8DB5BA">
      <w:pPr>
        <w:spacing w:before="105" w:line="183" w:lineRule="auto"/>
        <w:rPr>
          <w:rFonts w:ascii="黑体" w:hAnsi="黑体" w:eastAsia="黑体" w:cs="黑体"/>
          <w:color w:val="231F20"/>
          <w:sz w:val="32"/>
          <w:szCs w:val="32"/>
        </w:rPr>
      </w:pPr>
    </w:p>
    <w:p w14:paraId="1A1B462F">
      <w:pPr>
        <w:spacing w:before="105" w:line="183" w:lineRule="auto"/>
        <w:rPr>
          <w:rFonts w:ascii="黑体" w:hAnsi="黑体" w:eastAsia="黑体" w:cs="黑体"/>
          <w:color w:val="231F20"/>
          <w:sz w:val="32"/>
          <w:szCs w:val="32"/>
        </w:rPr>
      </w:pPr>
    </w:p>
    <w:p w14:paraId="3CF885C8">
      <w:pPr>
        <w:spacing w:before="105" w:line="183" w:lineRule="auto"/>
        <w:rPr>
          <w:rFonts w:ascii="黑体" w:hAnsi="黑体" w:eastAsia="黑体" w:cs="黑体"/>
          <w:color w:val="231F20"/>
          <w:sz w:val="32"/>
          <w:szCs w:val="32"/>
        </w:rPr>
      </w:pPr>
    </w:p>
    <w:p w14:paraId="6A961418">
      <w:pPr>
        <w:spacing w:before="105" w:line="183" w:lineRule="auto"/>
        <w:rPr>
          <w:rFonts w:ascii="黑体" w:hAnsi="黑体" w:eastAsia="黑体" w:cs="黑体"/>
          <w:color w:val="231F20"/>
          <w:sz w:val="32"/>
          <w:szCs w:val="32"/>
        </w:rPr>
      </w:pPr>
    </w:p>
    <w:p w14:paraId="2570E53B">
      <w:pPr>
        <w:spacing w:before="105" w:line="183" w:lineRule="auto"/>
        <w:ind w:firstLine="403"/>
        <w:jc w:val="center"/>
        <w:rPr>
          <w:rFonts w:ascii="仿宋" w:hAnsi="仿宋" w:eastAsia="仿宋" w:cs="仿宋"/>
          <w:b/>
          <w:bCs/>
          <w:sz w:val="28"/>
          <w:szCs w:val="28"/>
        </w:rPr>
      </w:pPr>
      <w:r>
        <w:rPr>
          <w:rFonts w:hint="eastAsia" w:ascii="仿宋" w:hAnsi="仿宋" w:eastAsia="仿宋" w:cs="仿宋"/>
          <w:b/>
          <w:bCs/>
          <w:sz w:val="28"/>
          <w:szCs w:val="28"/>
        </w:rPr>
        <w:t>（市场监督管理部门将依法向社会公开行政处罚决定信息）</w:t>
      </w:r>
    </w:p>
    <w:p w14:paraId="2C77BCAB">
      <w:pPr>
        <w:spacing w:line="26" w:lineRule="exact"/>
        <w:textAlignment w:val="center"/>
      </w:pPr>
      <w:r>
        <w:drawing>
          <wp:inline distT="0" distB="0" distL="0" distR="0">
            <wp:extent cx="5550535" cy="15875"/>
            <wp:effectExtent l="0" t="0" r="12065" b="6985"/>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6"/>
                    <a:stretch>
                      <a:fillRect/>
                    </a:stretch>
                  </pic:blipFill>
                  <pic:spPr>
                    <a:xfrm>
                      <a:off x="0" y="0"/>
                      <a:ext cx="5550535" cy="16509"/>
                    </a:xfrm>
                    <a:prstGeom prst="rect">
                      <a:avLst/>
                    </a:prstGeom>
                  </pic:spPr>
                </pic:pic>
              </a:graphicData>
            </a:graphic>
          </wp:inline>
        </w:drawing>
      </w:r>
    </w:p>
    <w:p w14:paraId="472B498A">
      <w:pPr>
        <w:spacing w:before="106" w:line="183" w:lineRule="auto"/>
        <w:ind w:firstLine="231"/>
        <w:rPr>
          <w:rFonts w:eastAsiaTheme="minorEastAsia"/>
        </w:rPr>
      </w:pPr>
      <w:r>
        <w:rPr>
          <w:rFonts w:ascii="仿宋" w:hAnsi="仿宋" w:eastAsia="仿宋" w:cs="仿宋"/>
          <w:sz w:val="32"/>
          <w:szCs w:val="32"/>
        </w:rPr>
        <w:t>本文书一式</w:t>
      </w:r>
      <w:r>
        <w:rPr>
          <w:rFonts w:hint="eastAsia" w:ascii="仿宋" w:hAnsi="仿宋" w:eastAsia="仿宋" w:cs="仿宋"/>
          <w:sz w:val="32"/>
          <w:szCs w:val="32"/>
        </w:rPr>
        <w:t>二</w:t>
      </w:r>
      <w:r>
        <w:rPr>
          <w:rFonts w:ascii="仿宋" w:hAnsi="仿宋" w:eastAsia="仿宋" w:cs="仿宋"/>
          <w:sz w:val="32"/>
          <w:szCs w:val="32"/>
        </w:rPr>
        <w:t>份，</w:t>
      </w:r>
      <w:r>
        <w:rPr>
          <w:rFonts w:hint="eastAsia" w:ascii="仿宋" w:hAnsi="仿宋" w:eastAsia="仿宋" w:cs="仿宋"/>
          <w:sz w:val="32"/>
          <w:szCs w:val="32"/>
        </w:rPr>
        <w:t>一</w:t>
      </w:r>
      <w:r>
        <w:rPr>
          <w:rFonts w:ascii="仿宋" w:hAnsi="仿宋" w:eastAsia="仿宋" w:cs="仿宋"/>
          <w:sz w:val="32"/>
          <w:szCs w:val="32"/>
        </w:rPr>
        <w:t>份送达，</w:t>
      </w:r>
      <w:r>
        <w:rPr>
          <w:rFonts w:hint="eastAsia" w:ascii="仿宋" w:hAnsi="仿宋" w:eastAsia="仿宋" w:cs="仿宋"/>
          <w:sz w:val="32"/>
          <w:szCs w:val="32"/>
        </w:rPr>
        <w:t>一</w:t>
      </w:r>
      <w:r>
        <w:rPr>
          <w:rFonts w:ascii="仿宋" w:hAnsi="仿宋" w:eastAsia="仿宋" w:cs="仿宋"/>
          <w:sz w:val="32"/>
          <w:szCs w:val="32"/>
        </w:rPr>
        <w:t>份归档</w:t>
      </w:r>
      <w:r>
        <w:rPr>
          <w:rFonts w:hint="eastAsia" w:ascii="仿宋" w:hAnsi="仿宋" w:eastAsia="仿宋" w:cs="仿宋"/>
          <w:sz w:val="32"/>
          <w:szCs w:val="32"/>
        </w:rPr>
        <w:t>。</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Microsoft JhengHei">
    <w:panose1 w:val="020B0604030504040204"/>
    <w:charset w:val="88"/>
    <w:family w:val="swiss"/>
    <w:pitch w:val="default"/>
    <w:sig w:usb0="00000087" w:usb1="28AF4000" w:usb2="00000016" w:usb3="00000000" w:csb0="00100009"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880F2">
    <w:pPr>
      <w:spacing w:line="196" w:lineRule="exact"/>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43C40C">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8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91A"/>
    <w:rsid w:val="000057FC"/>
    <w:rsid w:val="000F1723"/>
    <w:rsid w:val="00296E1B"/>
    <w:rsid w:val="002B4ED3"/>
    <w:rsid w:val="00352CCA"/>
    <w:rsid w:val="0039330B"/>
    <w:rsid w:val="003B7C5A"/>
    <w:rsid w:val="003F4037"/>
    <w:rsid w:val="004214BB"/>
    <w:rsid w:val="005A391A"/>
    <w:rsid w:val="005A4074"/>
    <w:rsid w:val="006470B5"/>
    <w:rsid w:val="00696CCB"/>
    <w:rsid w:val="006A1A87"/>
    <w:rsid w:val="006E50BE"/>
    <w:rsid w:val="00763327"/>
    <w:rsid w:val="007954B7"/>
    <w:rsid w:val="0087371B"/>
    <w:rsid w:val="008C7E35"/>
    <w:rsid w:val="008D5826"/>
    <w:rsid w:val="008F42EB"/>
    <w:rsid w:val="009661F9"/>
    <w:rsid w:val="00970AFF"/>
    <w:rsid w:val="00A17D00"/>
    <w:rsid w:val="00AA7B33"/>
    <w:rsid w:val="00AB12FC"/>
    <w:rsid w:val="00AC1351"/>
    <w:rsid w:val="00AD5901"/>
    <w:rsid w:val="00AE7F13"/>
    <w:rsid w:val="00B5108B"/>
    <w:rsid w:val="00C138F6"/>
    <w:rsid w:val="00C9649C"/>
    <w:rsid w:val="00CD1F53"/>
    <w:rsid w:val="00D349DA"/>
    <w:rsid w:val="00D528AB"/>
    <w:rsid w:val="00DC6C6B"/>
    <w:rsid w:val="00E61D5E"/>
    <w:rsid w:val="00E65DF8"/>
    <w:rsid w:val="00E93293"/>
    <w:rsid w:val="00E95A6F"/>
    <w:rsid w:val="00EB2CE8"/>
    <w:rsid w:val="00F618DB"/>
    <w:rsid w:val="00FF6FFF"/>
    <w:rsid w:val="01630267"/>
    <w:rsid w:val="01637049"/>
    <w:rsid w:val="146156DC"/>
    <w:rsid w:val="361F034C"/>
    <w:rsid w:val="366E0655"/>
    <w:rsid w:val="50B12E13"/>
    <w:rsid w:val="5B8C07A1"/>
    <w:rsid w:val="64287223"/>
    <w:rsid w:val="7D4A38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4"/>
    <w:semiHidden/>
    <w:unhideWhenUsed/>
    <w:qFormat/>
    <w:uiPriority w:val="99"/>
    <w:pPr>
      <w:ind w:left="100" w:leftChars="2500"/>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widowControl w:val="0"/>
      <w:tabs>
        <w:tab w:val="center" w:pos="4153"/>
        <w:tab w:val="right" w:pos="8306"/>
      </w:tabs>
      <w:kinsoku/>
      <w:autoSpaceDE/>
      <w:autoSpaceDN/>
      <w:adjustRightInd/>
      <w:textAlignment w:val="auto"/>
    </w:pPr>
    <w:rPr>
      <w:rFonts w:asciiTheme="minorHAnsi" w:hAnsiTheme="minorHAnsi" w:eastAsiaTheme="minorEastAsia" w:cstheme="minorBidi"/>
      <w:snapToGrid/>
      <w:color w:val="auto"/>
      <w:kern w:val="2"/>
      <w:sz w:val="18"/>
      <w:szCs w:val="18"/>
    </w:rPr>
  </w:style>
  <w:style w:type="paragraph" w:styleId="5">
    <w:name w:val="header"/>
    <w:basedOn w:val="1"/>
    <w:link w:val="10"/>
    <w:unhideWhenUsed/>
    <w:qFormat/>
    <w:uiPriority w:val="99"/>
    <w:pPr>
      <w:widowControl w:val="0"/>
      <w:pBdr>
        <w:bottom w:val="single" w:color="auto" w:sz="6" w:space="1"/>
      </w:pBdr>
      <w:tabs>
        <w:tab w:val="center" w:pos="4153"/>
        <w:tab w:val="right" w:pos="8306"/>
      </w:tabs>
      <w:kinsoku/>
      <w:autoSpaceDE/>
      <w:autoSpaceDN/>
      <w:adjustRightInd/>
      <w:jc w:val="center"/>
      <w:textAlignment w:val="auto"/>
    </w:pPr>
    <w:rPr>
      <w:rFonts w:asciiTheme="minorHAnsi" w:hAnsiTheme="minorHAnsi" w:eastAsiaTheme="minorEastAsia" w:cstheme="minorBidi"/>
      <w:snapToGrid/>
      <w:color w:val="auto"/>
      <w:kern w:val="2"/>
      <w:sz w:val="18"/>
      <w:szCs w:val="18"/>
    </w:rPr>
  </w:style>
  <w:style w:type="paragraph" w:styleId="6">
    <w:name w:val="Normal (Web)"/>
    <w:basedOn w:val="1"/>
    <w:qFormat/>
    <w:uiPriority w:val="0"/>
    <w:pPr>
      <w:spacing w:before="100" w:beforeAutospacing="1" w:after="100" w:afterAutospacing="1"/>
      <w:ind w:firstLine="200" w:firstLineChars="200"/>
      <w:jc w:val="left"/>
    </w:pPr>
    <w:rPr>
      <w:kern w:val="0"/>
      <w:sz w:val="24"/>
      <w:szCs w:val="24"/>
    </w:rPr>
  </w:style>
  <w:style w:type="paragraph" w:styleId="7">
    <w:name w:val="Title"/>
    <w:basedOn w:val="1"/>
    <w:next w:val="1"/>
    <w:link w:val="12"/>
    <w:qFormat/>
    <w:uiPriority w:val="0"/>
    <w:pPr>
      <w:spacing w:line="199" w:lineRule="auto"/>
      <w:jc w:val="center"/>
      <w:outlineLvl w:val="0"/>
    </w:pPr>
    <w:rPr>
      <w:rFonts w:ascii="Microsoft JhengHei" w:hAnsi="Microsoft JhengHei" w:eastAsia="Microsoft JhengHei" w:cs="Microsoft JhengHei"/>
      <w:spacing w:val="-2"/>
      <w:sz w:val="44"/>
      <w:szCs w:val="44"/>
    </w:rPr>
  </w:style>
  <w:style w:type="character" w:customStyle="1" w:styleId="10">
    <w:name w:val="页眉 字符"/>
    <w:basedOn w:val="9"/>
    <w:link w:val="5"/>
    <w:qFormat/>
    <w:uiPriority w:val="99"/>
    <w:rPr>
      <w:sz w:val="18"/>
      <w:szCs w:val="18"/>
    </w:rPr>
  </w:style>
  <w:style w:type="character" w:customStyle="1" w:styleId="11">
    <w:name w:val="页脚 字符"/>
    <w:basedOn w:val="9"/>
    <w:link w:val="4"/>
    <w:qFormat/>
    <w:uiPriority w:val="99"/>
    <w:rPr>
      <w:sz w:val="18"/>
      <w:szCs w:val="18"/>
    </w:rPr>
  </w:style>
  <w:style w:type="character" w:customStyle="1" w:styleId="12">
    <w:name w:val="标题 字符"/>
    <w:basedOn w:val="9"/>
    <w:link w:val="7"/>
    <w:qFormat/>
    <w:uiPriority w:val="0"/>
    <w:rPr>
      <w:rFonts w:ascii="Microsoft JhengHei" w:hAnsi="Microsoft JhengHei" w:eastAsia="Microsoft JhengHei" w:cs="Microsoft JhengHei"/>
      <w:snapToGrid w:val="0"/>
      <w:color w:val="000000"/>
      <w:spacing w:val="-2"/>
      <w:kern w:val="0"/>
      <w:sz w:val="44"/>
      <w:szCs w:val="44"/>
    </w:rPr>
  </w:style>
  <w:style w:type="character" w:customStyle="1" w:styleId="13">
    <w:name w:val="批注框文本 字符"/>
    <w:basedOn w:val="9"/>
    <w:link w:val="3"/>
    <w:semiHidden/>
    <w:qFormat/>
    <w:uiPriority w:val="99"/>
    <w:rPr>
      <w:rFonts w:ascii="Arial" w:hAnsi="Arial" w:eastAsia="Arial" w:cs="Arial"/>
      <w:snapToGrid w:val="0"/>
      <w:color w:val="000000"/>
      <w:kern w:val="0"/>
      <w:sz w:val="18"/>
      <w:szCs w:val="18"/>
    </w:rPr>
  </w:style>
  <w:style w:type="character" w:customStyle="1" w:styleId="14">
    <w:name w:val="日期 字符"/>
    <w:basedOn w:val="9"/>
    <w:link w:val="2"/>
    <w:semiHidden/>
    <w:qFormat/>
    <w:uiPriority w:val="99"/>
    <w:rPr>
      <w:rFonts w:ascii="Arial" w:hAnsi="Arial" w:eastAsia="Arial" w:cs="Arial"/>
      <w:snapToGrid w:val="0"/>
      <w:color w:val="000000"/>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1576</Words>
  <Characters>1739</Characters>
  <Lines>11</Lines>
  <Paragraphs>3</Paragraphs>
  <TotalTime>1</TotalTime>
  <ScaleCrop>false</ScaleCrop>
  <LinksUpToDate>false</LinksUpToDate>
  <CharactersWithSpaces>1942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2024-05-09T06:45:00Z</dcterms:created>
  <dc:creator>王雅芬</dc:creator>
  <cp:lastModifiedBy>天天8871</cp:lastModifiedBy>
  <cp:lastPrinted>2025-05-28T01:07:00Z</cp:lastPrinted>
  <dcterms:modified xsi:type="dcterms:W3CDTF">2025-09-22T01:55:39Z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eyJoZGlkIjoiNmZlYzNiOWNiYTA0ZGZkNGNlNTkyYjE3MzM0N2JiYzMiLCJ1c2VySWQiOiI3MjUzNTA0OTgifQ==</vt:lpwstr>
  </property>
  <property fmtid="{D5CDD505-2E9C-101B-9397-08002B2CF9AE}" pid="3" name="KSOProductBuildVer">
    <vt:lpwstr>2052-12.1.0.22529</vt:lpwstr>
  </property>
  <property fmtid="{D5CDD505-2E9C-101B-9397-08002B2CF9AE}" pid="4" name="ICV">
    <vt:lpwstr>B07A6FFFD0AB4DE8BCA5C69EA79165B8_12</vt:lpwstr>
  </property>
</Properties>
</file>